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E9" w:rsidRPr="004905E9" w:rsidRDefault="004905E9" w:rsidP="004905E9">
      <w:pPr>
        <w:jc w:val="center"/>
        <w:rPr>
          <w:rFonts w:ascii="細明體" w:eastAsia="細明體" w:hAnsi="細明體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905E9">
        <w:rPr>
          <w:rFonts w:ascii="細明體" w:eastAsia="細明體" w:hAnsi="細明體" w:hint="eastAsia"/>
          <w:color w:val="000000"/>
          <w:sz w:val="28"/>
          <w:szCs w:val="28"/>
          <w:shd w:val="clear" w:color="auto" w:fill="FFFFFF"/>
        </w:rPr>
        <w:t>中央政府各機關學校出席費及稿費支給要點</w:t>
      </w:r>
    </w:p>
    <w:p w:rsidR="004905E9" w:rsidRDefault="004905E9" w:rsidP="004905E9">
      <w:pPr>
        <w:jc w:val="right"/>
        <w:rPr>
          <w:rFonts w:ascii="細明體" w:eastAsia="細明體" w:hAnsi="細明體"/>
          <w:color w:val="000000"/>
          <w:sz w:val="27"/>
          <w:szCs w:val="27"/>
          <w:shd w:val="clear" w:color="auto" w:fill="FFFFFF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1071218</w:t>
      </w:r>
    </w:p>
    <w:p w:rsidR="004905E9" w:rsidRP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為規範中央政府各機關(構)、學校(以下簡稱各機關學校)支給出席費及稿費之基準，特訂定本要點。</w:t>
      </w:r>
    </w:p>
    <w:p w:rsidR="004905E9" w:rsidRP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各機關學校邀請本機關學校人員以外之學者專家，參加具有政策性或專案性之重大諮詢事項會議，得支給出席費。</w:t>
      </w:r>
    </w:p>
    <w:p w:rsidR="004905E9" w:rsidRPr="004905E9" w:rsidRDefault="004905E9" w:rsidP="004905E9">
      <w:pPr>
        <w:pStyle w:val="a4"/>
        <w:ind w:leftChars="0" w:left="567"/>
        <w:rPr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前項政策性或專案性之重大諮詢事項會議，由各機關學校依會議召開之性質，本於權責自行認定。</w:t>
      </w:r>
    </w:p>
    <w:p w:rsidR="004905E9" w:rsidRP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各機關學校邀請之學者專家，其本人未能出席，而委由他人代理，經徵得邀請機關學校同意，代理出席者得支領出席費。</w:t>
      </w:r>
    </w:p>
    <w:p w:rsidR="004905E9" w:rsidRP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有下列情形之一者，不得支給出席費：</w:t>
      </w:r>
    </w:p>
    <w:p w:rsidR="004905E9" w:rsidRPr="004905E9" w:rsidRDefault="004905E9" w:rsidP="004905E9">
      <w:pPr>
        <w:pStyle w:val="a4"/>
        <w:widowControl/>
        <w:numPr>
          <w:ilvl w:val="0"/>
          <w:numId w:val="5"/>
        </w:numPr>
        <w:ind w:leftChars="0" w:left="1276" w:hanging="850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由本機關學校人員(含任務編組)或應邀機關學校指派代表出席會議。</w:t>
      </w:r>
    </w:p>
    <w:p w:rsidR="004905E9" w:rsidRPr="004905E9" w:rsidRDefault="004905E9" w:rsidP="004905E9">
      <w:pPr>
        <w:pStyle w:val="a4"/>
        <w:widowControl/>
        <w:numPr>
          <w:ilvl w:val="0"/>
          <w:numId w:val="5"/>
        </w:numPr>
        <w:ind w:leftChars="0" w:left="1276" w:hanging="850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各機關學校召開之會議屬一般經常性業務會議。</w:t>
      </w:r>
    </w:p>
    <w:p w:rsidR="004905E9" w:rsidRPr="004905E9" w:rsidRDefault="004905E9" w:rsidP="004905E9">
      <w:pPr>
        <w:pStyle w:val="a4"/>
        <w:widowControl/>
        <w:numPr>
          <w:ilvl w:val="0"/>
          <w:numId w:val="5"/>
        </w:numPr>
        <w:ind w:leftChars="0" w:left="1276" w:hanging="850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因故未能成會。</w:t>
      </w:r>
    </w:p>
    <w:p w:rsidR="004905E9" w:rsidRPr="004905E9" w:rsidRDefault="004905E9" w:rsidP="004905E9">
      <w:pPr>
        <w:pStyle w:val="a4"/>
        <w:widowControl/>
        <w:numPr>
          <w:ilvl w:val="0"/>
          <w:numId w:val="5"/>
        </w:numPr>
        <w:ind w:leftChars="0" w:left="1276" w:hanging="850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未親自出席，而以書面、錄音或錄影等方式提供意見。</w:t>
      </w:r>
    </w:p>
    <w:p w:rsidR="004905E9" w:rsidRPr="004905E9" w:rsidRDefault="004905E9" w:rsidP="004905E9">
      <w:pPr>
        <w:pStyle w:val="a4"/>
        <w:widowControl/>
        <w:numPr>
          <w:ilvl w:val="0"/>
          <w:numId w:val="5"/>
        </w:numPr>
        <w:ind w:leftChars="0" w:left="1276" w:hanging="850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各機關學校人員出席其補助計畫、委辦計畫或受補助計畫之相關會議。</w:t>
      </w:r>
    </w:p>
    <w:p w:rsidR="004905E9" w:rsidRPr="004905E9" w:rsidRDefault="004905E9" w:rsidP="004905E9">
      <w:pPr>
        <w:pStyle w:val="a4"/>
        <w:numPr>
          <w:ilvl w:val="0"/>
          <w:numId w:val="5"/>
        </w:numPr>
        <w:ind w:leftChars="0" w:left="1276" w:hanging="850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受委辦機關學校人員，已於委辦計畫內依參與事項分工列支主持費及研究費等酬勞。</w:t>
      </w:r>
    </w:p>
    <w:p w:rsidR="004905E9" w:rsidRP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出席費之支給，以每次會議新臺幣二千五百元為上限，由各機關學校視會議諮詢性質及業務繁簡程度支給。</w:t>
      </w:r>
    </w:p>
    <w:p w:rsid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依第二點規定邀請之學者專家，如係由遠地前往（三十公里以外），邀請機關學校得衡酌實際情況，參照國內出差旅費報支要點規定，覈實支給交通費及住宿費。</w:t>
      </w:r>
    </w:p>
    <w:p w:rsid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各機關學校依下列規定委(邀)請專人或機構，進行撰稿、譯稿、編稿及審查等工作時，得依附表所定基準支給稿費：</w:t>
      </w:r>
    </w:p>
    <w:p w:rsidR="004905E9" w:rsidRDefault="004905E9" w:rsidP="004905E9">
      <w:pPr>
        <w:pStyle w:val="a4"/>
        <w:widowControl/>
        <w:numPr>
          <w:ilvl w:val="0"/>
          <w:numId w:val="6"/>
        </w:numPr>
        <w:ind w:leftChars="0" w:left="1418" w:hanging="851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為處理與業務有關重要文件資料，經機關學校首長或其授權人核准，委由本機關學校以外人員或機構辦理者。但依政府採購法規定，以公開方式辦理者，得不受附表所定基準之限制。</w:t>
      </w:r>
    </w:p>
    <w:p w:rsidR="004905E9" w:rsidRPr="004905E9" w:rsidRDefault="004905E9" w:rsidP="004905E9">
      <w:pPr>
        <w:pStyle w:val="a4"/>
        <w:widowControl/>
        <w:numPr>
          <w:ilvl w:val="0"/>
          <w:numId w:val="6"/>
        </w:numPr>
        <w:ind w:leftChars="0" w:left="1418" w:hanging="851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為發行刊物，邀請本機關學校以編譯為職掌以外人員辦理或公開徵求稿件，經刊登者；未經刊登者，僅得支給審查費，不得支給其他項目之稿費。</w:t>
      </w:r>
    </w:p>
    <w:p w:rsid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有下列情形之一者，不得支給稿費：</w:t>
      </w:r>
    </w:p>
    <w:p w:rsidR="004905E9" w:rsidRPr="004905E9" w:rsidRDefault="004905E9" w:rsidP="004905E9">
      <w:pPr>
        <w:pStyle w:val="a4"/>
        <w:numPr>
          <w:ilvl w:val="0"/>
          <w:numId w:val="7"/>
        </w:numPr>
        <w:ind w:leftChars="0" w:left="1276" w:hanging="796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各機關學校人員處理與本機關學校業務(包括辦理補助計畫、委辦計畫及受補助計畫)有關文件資料(包括召開會議之資料)之撰稿、譯稿、編稿及審查等工作。</w:t>
      </w:r>
    </w:p>
    <w:p w:rsidR="004905E9" w:rsidRPr="004905E9" w:rsidRDefault="004905E9" w:rsidP="004905E9">
      <w:pPr>
        <w:pStyle w:val="a4"/>
        <w:numPr>
          <w:ilvl w:val="0"/>
          <w:numId w:val="7"/>
        </w:numPr>
        <w:ind w:leftChars="0" w:left="1276" w:hanging="796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應邀機關學校指派代表審查本機關學校召開會議之資料。</w:t>
      </w:r>
    </w:p>
    <w:p w:rsidR="004905E9" w:rsidRPr="004905E9" w:rsidRDefault="004905E9" w:rsidP="004905E9">
      <w:pPr>
        <w:pStyle w:val="a4"/>
        <w:numPr>
          <w:ilvl w:val="0"/>
          <w:numId w:val="7"/>
        </w:numPr>
        <w:ind w:leftChars="0" w:left="1276" w:hanging="796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發行刊物稿件內容係屬摘錄各機關學校相關法規、書籍、公文等資料。</w:t>
      </w:r>
    </w:p>
    <w:p w:rsidR="004905E9" w:rsidRDefault="004905E9" w:rsidP="004905E9">
      <w:pPr>
        <w:pStyle w:val="a4"/>
        <w:numPr>
          <w:ilvl w:val="0"/>
          <w:numId w:val="7"/>
        </w:numPr>
        <w:ind w:leftChars="0" w:left="1276" w:hanging="796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本機關學校由以編譯為職掌人員辦理刊物(含受補助計畫辦理之刊物)之撰稿、譯稿、編稿及審查等工作。</w:t>
      </w:r>
    </w:p>
    <w:p w:rsidR="004905E9" w:rsidRDefault="004905E9" w:rsidP="004905E9">
      <w:pPr>
        <w:pStyle w:val="a4"/>
        <w:numPr>
          <w:ilvl w:val="0"/>
          <w:numId w:val="3"/>
        </w:numPr>
        <w:ind w:leftChars="0" w:left="567" w:hanging="567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國營事業及非營業特種基金準用本要點之規定。</w:t>
      </w:r>
    </w:p>
    <w:p w:rsidR="004905E9" w:rsidRPr="004905E9" w:rsidRDefault="004905E9" w:rsidP="004905E9">
      <w:pPr>
        <w:pStyle w:val="a4"/>
        <w:ind w:leftChars="0" w:left="567"/>
        <w:rPr>
          <w:rFonts w:ascii="細明體" w:eastAsia="細明體" w:hAnsi="細明體" w:cs="新細明體"/>
          <w:color w:val="000000"/>
          <w:kern w:val="0"/>
          <w:szCs w:val="24"/>
        </w:rPr>
      </w:pPr>
      <w:r w:rsidRPr="004905E9">
        <w:rPr>
          <w:rFonts w:ascii="細明體" w:eastAsia="細明體" w:hAnsi="細明體" w:cs="新細明體" w:hint="eastAsia"/>
          <w:color w:val="000000"/>
          <w:kern w:val="0"/>
          <w:szCs w:val="24"/>
        </w:rPr>
        <w:t>各級地方政府得於本要點所定範圍內訂定相關規定；其未訂定者，準用本要點之規定。</w:t>
      </w:r>
    </w:p>
    <w:p w:rsidR="004905E9" w:rsidRPr="004905E9" w:rsidRDefault="004905E9" w:rsidP="004905E9">
      <w:pPr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</w:p>
    <w:sectPr w:rsidR="004905E9" w:rsidRPr="004905E9" w:rsidSect="004905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6E" w:rsidRDefault="00A21D6E" w:rsidP="00B0668E">
      <w:r>
        <w:separator/>
      </w:r>
    </w:p>
  </w:endnote>
  <w:endnote w:type="continuationSeparator" w:id="0">
    <w:p w:rsidR="00A21D6E" w:rsidRDefault="00A21D6E" w:rsidP="00B0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6E" w:rsidRDefault="00A21D6E" w:rsidP="00B0668E">
      <w:r>
        <w:separator/>
      </w:r>
    </w:p>
  </w:footnote>
  <w:footnote w:type="continuationSeparator" w:id="0">
    <w:p w:rsidR="00A21D6E" w:rsidRDefault="00A21D6E" w:rsidP="00B0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3F8"/>
    <w:multiLevelType w:val="hybridMultilevel"/>
    <w:tmpl w:val="2A706E02"/>
    <w:lvl w:ilvl="0" w:tplc="3F4839E4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A16E8"/>
    <w:multiLevelType w:val="hybridMultilevel"/>
    <w:tmpl w:val="077213AC"/>
    <w:lvl w:ilvl="0" w:tplc="3F4839E4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2C5786"/>
    <w:multiLevelType w:val="multilevel"/>
    <w:tmpl w:val="4D8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24404"/>
    <w:multiLevelType w:val="hybridMultilevel"/>
    <w:tmpl w:val="12EE87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360C09"/>
    <w:multiLevelType w:val="hybridMultilevel"/>
    <w:tmpl w:val="CC985D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9D46C2"/>
    <w:multiLevelType w:val="hybridMultilevel"/>
    <w:tmpl w:val="C492989A"/>
    <w:lvl w:ilvl="0" w:tplc="0A7EC66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AD4637D"/>
    <w:multiLevelType w:val="hybridMultilevel"/>
    <w:tmpl w:val="EDCE7744"/>
    <w:lvl w:ilvl="0" w:tplc="3F4839E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BE565D6"/>
    <w:multiLevelType w:val="hybridMultilevel"/>
    <w:tmpl w:val="04F0BCA2"/>
    <w:lvl w:ilvl="0" w:tplc="CAD6EC2C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E9"/>
    <w:rsid w:val="00275A1B"/>
    <w:rsid w:val="004905E9"/>
    <w:rsid w:val="00A21D6E"/>
    <w:rsid w:val="00B0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905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905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05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0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66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66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905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905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05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0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66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66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9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C.M.T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2021-03-12T06:11:00Z</dcterms:created>
  <dcterms:modified xsi:type="dcterms:W3CDTF">2021-03-12T06:11:00Z</dcterms:modified>
</cp:coreProperties>
</file>